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EON Worlds product and user guide</w:t>
      </w:r>
    </w:p>
    <w:p>
      <w:pPr>
        <w:pStyle w:val="Subtitle"/>
      </w:pPr>
      <w:r>
        <w:rPr>
          <w:color w:val="465564"/>
          <w:sz w:val="20"/>
        </w:rPr>
        <w:t>Step by step handbook for learners and authors  |  Current preview and planned complete product</w:t>
      </w:r>
    </w:p>
    <w:p>
      <w:r>
        <w:t>This handbook explains how to try EON Worlds today and how an author will create and publish a complete learning world. Steps marked Planned describe the target product; they are not live features yet. The in-product question mark opens a one-minute guide, with a link to a full HTML version of this handbook.</w:t>
      </w:r>
    </w:p>
    <w:p>
      <w:r>
        <w:t xml:space="preserve">Open the in-app one-minute Guide: </w:t>
      </w:r>
      <w:hyperlink r:id="rId11">
        <w:r>
          <w:rPr>
            <w:color w:val="0563C1"/>
            <w:u w:val="single"/>
          </w:rPr>
          <w:t>Launch the demo with the Guide open</w:t>
        </w:r>
      </w:hyperlink>
    </w:p>
    <w:p>
      <w:pPr>
        <w:pStyle w:val="Heading1"/>
      </w:pPr>
      <w:r>
        <w:t>At a glance</w:t>
      </w:r>
    </w:p>
    <w:tbl>
      <w:tblPr>
        <w:tblW w:type="auto" w:w="0"/>
        <w:jc w:val="center"/>
        <w:tblLayout w:type="fixed"/>
        <w:tblLook w:firstColumn="1" w:firstRow="1" w:lastColumn="0" w:lastRow="0" w:noHBand="0" w:noVBand="1" w:val="04A0"/>
      </w:tblPr>
      <w:tblGrid>
        <w:gridCol w:w="3283"/>
        <w:gridCol w:w="3283"/>
        <w:gridCol w:w="3283"/>
      </w:tblGrid>
      <w:tr>
        <w:tc>
          <w:tcPr>
            <w:tcW w:type="dxa" w:w="1728"/>
            <w:shd w:fill="173047"/>
            <w:tcBorders>
              <w:top w:val="single" w:sz="4" w:color="D9D9D9"/>
              <w:left w:val="single" w:sz="4" w:color="D9D9D9"/>
              <w:bottom w:val="single" w:sz="4" w:color="D9D9D9"/>
              <w:right w:val="single" w:sz="4" w:color="D9D9D9"/>
            </w:tcBorders>
          </w:tcPr>
          <w:p>
            <w:r>
              <w:rPr>
                <w:b/>
                <w:color w:val="FFFFFF"/>
                <w:sz w:val="18"/>
              </w:rPr>
              <w:t>Task</w:t>
            </w:r>
          </w:p>
        </w:tc>
        <w:tc>
          <w:tcPr>
            <w:tcW w:type="dxa" w:w="3600"/>
            <w:shd w:fill="173047"/>
            <w:tcBorders>
              <w:top w:val="single" w:sz="4" w:color="D9D9D9"/>
              <w:left w:val="single" w:sz="4" w:color="D9D9D9"/>
              <w:bottom w:val="single" w:sz="4" w:color="D9D9D9"/>
              <w:right w:val="single" w:sz="4" w:color="D9D9D9"/>
            </w:tcBorders>
          </w:tcPr>
          <w:p>
            <w:r>
              <w:rPr>
                <w:b/>
                <w:color w:val="FFFFFF"/>
                <w:sz w:val="18"/>
              </w:rPr>
              <w:t>Available now</w:t>
            </w:r>
          </w:p>
        </w:tc>
        <w:tc>
          <w:tcPr>
            <w:tcW w:type="dxa" w:w="3744"/>
            <w:shd w:fill="173047"/>
            <w:tcBorders>
              <w:top w:val="single" w:sz="4" w:color="D9D9D9"/>
              <w:left w:val="single" w:sz="4" w:color="D9D9D9"/>
              <w:bottom w:val="single" w:sz="4" w:color="D9D9D9"/>
              <w:right w:val="single" w:sz="4" w:color="D9D9D9"/>
            </w:tcBorders>
          </w:tcPr>
          <w:p>
            <w:r>
              <w:rPr>
                <w:b/>
                <w:color w:val="FFFFFF"/>
                <w:sz w:val="18"/>
              </w:rPr>
              <w:t>Full product target</w:t>
            </w:r>
          </w:p>
        </w:tc>
      </w:tr>
      <w:tr>
        <w:tc>
          <w:tcPr>
            <w:tcW w:type="dxa" w:w="1728"/>
            <w:tcBorders>
              <w:top w:val="single" w:sz="4" w:color="D9D9D9"/>
              <w:left w:val="single" w:sz="4" w:color="D9D9D9"/>
              <w:bottom w:val="single" w:sz="4" w:color="D9D9D9"/>
              <w:right w:val="single" w:sz="4" w:color="D9D9D9"/>
            </w:tcBorders>
            <w:vAlign w:val="center"/>
          </w:tcPr>
          <w:p>
            <w:r>
              <w:rPr>
                <w:sz w:val="17"/>
              </w:rPr>
              <w:t>Explore</w:t>
            </w:r>
          </w:p>
        </w:tc>
        <w:tc>
          <w:tcPr>
            <w:tcW w:type="dxa" w:w="3600"/>
            <w:tcBorders>
              <w:top w:val="single" w:sz="4" w:color="D9D9D9"/>
              <w:left w:val="single" w:sz="4" w:color="D9D9D9"/>
              <w:bottom w:val="single" w:sz="4" w:color="D9D9D9"/>
              <w:right w:val="single" w:sz="4" w:color="D9D9D9"/>
            </w:tcBorders>
            <w:vAlign w:val="center"/>
          </w:tcPr>
          <w:p>
            <w:r>
              <w:rPr>
                <w:sz w:val="17"/>
              </w:rPr>
              <w:t>Two live sample worlds, guided mission, practice and challenge</w:t>
            </w:r>
          </w:p>
        </w:tc>
        <w:tc>
          <w:tcPr>
            <w:tcW w:type="dxa" w:w="3744"/>
            <w:tcBorders>
              <w:top w:val="single" w:sz="4" w:color="D9D9D9"/>
              <w:left w:val="single" w:sz="4" w:color="D9D9D9"/>
              <w:bottom w:val="single" w:sz="4" w:color="D9D9D9"/>
              <w:right w:val="single" w:sz="4" w:color="D9D9D9"/>
            </w:tcBorders>
            <w:vAlign w:val="center"/>
          </w:tcPr>
          <w:p>
            <w:r>
              <w:rPr>
                <w:sz w:val="17"/>
              </w:rPr>
              <w:t>A reviewed library of many customer worlds</w:t>
            </w:r>
          </w:p>
        </w:tc>
      </w:tr>
      <w:tr>
        <w:tc>
          <w:tcPr>
            <w:tcW w:type="dxa" w:w="1728"/>
            <w:tcBorders>
              <w:top w:val="single" w:sz="4" w:color="D9D9D9"/>
              <w:left w:val="single" w:sz="4" w:color="D9D9D9"/>
              <w:bottom w:val="single" w:sz="4" w:color="D9D9D9"/>
              <w:right w:val="single" w:sz="4" w:color="D9D9D9"/>
            </w:tcBorders>
            <w:vAlign w:val="center"/>
            <w:shd w:fill="F3F7FA"/>
          </w:tcPr>
          <w:p>
            <w:r>
              <w:rPr>
                <w:sz w:val="17"/>
              </w:rPr>
              <w:t>Create</w:t>
            </w:r>
          </w:p>
        </w:tc>
        <w:tc>
          <w:tcPr>
            <w:tcW w:type="dxa" w:w="3600"/>
            <w:tcBorders>
              <w:top w:val="single" w:sz="4" w:color="D9D9D9"/>
              <w:left w:val="single" w:sz="4" w:color="D9D9D9"/>
              <w:bottom w:val="single" w:sz="4" w:color="D9D9D9"/>
              <w:right w:val="single" w:sz="4" w:color="D9D9D9"/>
            </w:tcBorders>
            <w:vAlign w:val="center"/>
            <w:shd w:fill="F3F7FA"/>
          </w:tcPr>
          <w:p>
            <w:r>
              <w:rPr>
                <w:sz w:val="17"/>
              </w:rPr>
              <w:t>Six-question planner, local draft, JSON export, limited example handoff</w:t>
            </w:r>
          </w:p>
        </w:tc>
        <w:tc>
          <w:tcPr>
            <w:tcW w:type="dxa" w:w="3744"/>
            <w:tcBorders>
              <w:top w:val="single" w:sz="4" w:color="D9D9D9"/>
              <w:left w:val="single" w:sz="4" w:color="D9D9D9"/>
              <w:bottom w:val="single" w:sz="4" w:color="D9D9D9"/>
              <w:right w:val="single" w:sz="4" w:color="D9D9D9"/>
            </w:tcBorders>
            <w:vAlign w:val="center"/>
            <w:shd w:fill="F3F7FA"/>
          </w:tcPr>
          <w:p>
            <w:r>
              <w:rPr>
                <w:sz w:val="17"/>
              </w:rPr>
              <w:t>One-word brief through generated world and published lesson</w:t>
            </w:r>
          </w:p>
        </w:tc>
      </w:tr>
      <w:tr>
        <w:tc>
          <w:tcPr>
            <w:tcW w:type="dxa" w:w="1728"/>
            <w:tcBorders>
              <w:top w:val="single" w:sz="4" w:color="D9D9D9"/>
              <w:left w:val="single" w:sz="4" w:color="D9D9D9"/>
              <w:bottom w:val="single" w:sz="4" w:color="D9D9D9"/>
              <w:right w:val="single" w:sz="4" w:color="D9D9D9"/>
            </w:tcBorders>
            <w:vAlign w:val="center"/>
          </w:tcPr>
          <w:p>
            <w:r>
              <w:rPr>
                <w:sz w:val="17"/>
              </w:rPr>
              <w:t>Review</w:t>
            </w:r>
          </w:p>
        </w:tc>
        <w:tc>
          <w:tcPr>
            <w:tcW w:type="dxa" w:w="3600"/>
            <w:tcBorders>
              <w:top w:val="single" w:sz="4" w:color="D9D9D9"/>
              <w:left w:val="single" w:sz="4" w:color="D9D9D9"/>
              <w:bottom w:val="single" w:sz="4" w:color="D9D9D9"/>
              <w:right w:val="single" w:sz="4" w:color="D9D9D9"/>
            </w:tcBorders>
            <w:vAlign w:val="center"/>
          </w:tcPr>
          <w:p>
            <w:r>
              <w:rPr>
                <w:sz w:val="17"/>
              </w:rPr>
              <w:t>Manual check in example studio</w:t>
            </w:r>
          </w:p>
        </w:tc>
        <w:tc>
          <w:tcPr>
            <w:tcW w:type="dxa" w:w="3744"/>
            <w:tcBorders>
              <w:top w:val="single" w:sz="4" w:color="D9D9D9"/>
              <w:left w:val="single" w:sz="4" w:color="D9D9D9"/>
              <w:bottom w:val="single" w:sz="4" w:color="D9D9D9"/>
              <w:right w:val="single" w:sz="4" w:color="D9D9D9"/>
            </w:tcBorders>
            <w:vAlign w:val="center"/>
          </w:tcPr>
          <w:p>
            <w:r>
              <w:rPr>
                <w:sz w:val="17"/>
              </w:rPr>
              <w:t>Versioned expert approval and release gate</w:t>
            </w:r>
          </w:p>
        </w:tc>
      </w:tr>
      <w:tr>
        <w:tc>
          <w:tcPr>
            <w:tcW w:type="dxa" w:w="1728"/>
            <w:tcBorders>
              <w:top w:val="single" w:sz="4" w:color="D9D9D9"/>
              <w:left w:val="single" w:sz="4" w:color="D9D9D9"/>
              <w:bottom w:val="single" w:sz="4" w:color="D9D9D9"/>
              <w:right w:val="single" w:sz="4" w:color="D9D9D9"/>
            </w:tcBorders>
            <w:vAlign w:val="center"/>
            <w:shd w:fill="F3F7FA"/>
          </w:tcPr>
          <w:p>
            <w:r>
              <w:rPr>
                <w:sz w:val="17"/>
              </w:rPr>
              <w:t>Share</w:t>
            </w:r>
          </w:p>
        </w:tc>
        <w:tc>
          <w:tcPr>
            <w:tcW w:type="dxa" w:w="3600"/>
            <w:tcBorders>
              <w:top w:val="single" w:sz="4" w:color="D9D9D9"/>
              <w:left w:val="single" w:sz="4" w:color="D9D9D9"/>
              <w:bottom w:val="single" w:sz="4" w:color="D9D9D9"/>
              <w:right w:val="single" w:sz="4" w:color="D9D9D9"/>
            </w:tcBorders>
            <w:vAlign w:val="center"/>
            <w:shd w:fill="F3F7FA"/>
          </w:tcPr>
          <w:p>
            <w:r>
              <w:rPr>
                <w:sz w:val="17"/>
              </w:rPr>
              <w:t>Public sample demo link</w:t>
            </w:r>
          </w:p>
        </w:tc>
        <w:tc>
          <w:tcPr>
            <w:tcW w:type="dxa" w:w="3744"/>
            <w:tcBorders>
              <w:top w:val="single" w:sz="4" w:color="D9D9D9"/>
              <w:left w:val="single" w:sz="4" w:color="D9D9D9"/>
              <w:bottom w:val="single" w:sz="4" w:color="D9D9D9"/>
              <w:right w:val="single" w:sz="4" w:color="D9D9D9"/>
            </w:tcBorders>
            <w:vAlign w:val="center"/>
            <w:shd w:fill="F3F7FA"/>
          </w:tcPr>
          <w:p>
            <w:r>
              <w:rPr>
                <w:sz w:val="17"/>
              </w:rPr>
              <w:t>Approved customer share links and learner records</w:t>
            </w:r>
          </w:p>
        </w:tc>
      </w:tr>
    </w:tbl>
    <w:p/>
    <w:p>
      <w:pPr>
        <w:pStyle w:val="Heading1"/>
      </w:pPr>
      <w:r>
        <w:t>Part 1 Try the live demo</w:t>
      </w:r>
    </w:p>
    <w:p>
      <w:pPr>
        <w:pStyle w:val="Heading2"/>
      </w:pPr>
      <w:r>
        <w:t>Open the demo</w:t>
      </w:r>
    </w:p>
    <w:p>
      <w:r>
        <w:t>Use https://eon-worlds-demo.vercel.app/demo?world=refinery&amp;mission=hazards&amp;mode=showMe. The refinery is a staged training scene, not a record of an actual site.</w:t>
      </w:r>
    </w:p>
    <w:p>
      <w:pPr>
        <w:pStyle w:val="Heading2"/>
      </w:pPr>
      <w:r>
        <w:t>Watch the mission</w:t>
      </w:r>
    </w:p>
    <w:p>
      <w:r>
        <w:t>Choose Show me. A guided camera shows the clues and explains the safe response. Pause or take control whenever you like.</w:t>
      </w:r>
    </w:p>
    <w:p>
      <w:pPr>
        <w:pStyle w:val="Heading2"/>
      </w:pPr>
      <w:r>
        <w:t>Try with help</w:t>
      </w:r>
    </w:p>
    <w:p>
      <w:r>
        <w:t>Choose Find me. Look around and select the clue. The lesson gives hints and feedback.</w:t>
      </w:r>
    </w:p>
    <w:p>
      <w:pPr>
        <w:pStyle w:val="Heading2"/>
      </w:pPr>
      <w:r>
        <w:t>Try alone</w:t>
      </w:r>
    </w:p>
    <w:p>
      <w:r>
        <w:t>Choose Challenge me. Find each clue without the walkthrough. Correct choices highlight the right area; incorrect choices should explain that they are not the answer.</w:t>
      </w:r>
    </w:p>
    <w:p>
      <w:pPr>
        <w:pStyle w:val="Heading2"/>
      </w:pPr>
      <w:r>
        <w:t>Read your result</w:t>
      </w:r>
    </w:p>
    <w:p>
      <w:r>
        <w:t>Review the score and explanations. Demo scores are temporary and not official EON training records.</w:t>
      </w:r>
    </w:p>
    <w:p>
      <w:pPr>
        <w:pStyle w:val="Heading1"/>
      </w:pPr>
      <w:r>
        <w:t>Part 2 Create a draft in six questions</w:t>
      </w:r>
    </w:p>
    <w:p>
      <w:r>
        <w:t>Open https://eon-worlds-public-demo.danlejerskar.chatgpt.site/. A word such as ship, refinery, or offshore platform is enough to start. You can change every draft choice before saving.</w:t>
      </w:r>
    </w:p>
    <w:p>
      <w:pPr>
        <w:pStyle w:val="Heading2"/>
      </w:pPr>
      <w:r>
        <w:t>1 The place</w:t>
      </w:r>
    </w:p>
    <w:p>
      <w:r>
        <w:t>Name the setting. Be specific about what part of the place is useful for learning.</w:t>
      </w:r>
    </w:p>
    <w:p>
      <w:pPr>
        <w:pStyle w:val="Heading2"/>
      </w:pPr>
      <w:r>
        <w:t>2 The look</w:t>
      </w:r>
    </w:p>
    <w:p>
      <w:r>
        <w:t>Check the visual brief and optional generation prompt. Keep a comfortable central path and avoid forcing a learner close to blurry captured edges.</w:t>
      </w:r>
    </w:p>
    <w:p>
      <w:pPr>
        <w:pStyle w:val="Heading2"/>
      </w:pPr>
      <w:r>
        <w:t>3 The lesson</w:t>
      </w:r>
    </w:p>
    <w:p>
      <w:r>
        <w:t>Choose hazards, equipment, or inspection. Say what decision the learner should make.</w:t>
      </w:r>
    </w:p>
    <w:p>
      <w:pPr>
        <w:pStyle w:val="Heading2"/>
      </w:pPr>
      <w:r>
        <w:t>4 The story</w:t>
      </w:r>
    </w:p>
    <w:p>
      <w:r>
        <w:t>Edit or remove suggested cards. Each card needs visible evidence, a question, the correct answer, a safe response, and an explanation. Draft AI text is not expert-approved.</w:t>
      </w:r>
    </w:p>
    <w:p>
      <w:pPr>
        <w:pStyle w:val="Heading2"/>
      </w:pPr>
      <w:r>
        <w:t>5 The world</w:t>
      </w:r>
    </w:p>
    <w:p>
      <w:r>
        <w:t>Reuse an included world, record your own Marble URL, or request generation through the connected owner service when credits are available. A concept picture is not a 3D world. The owner-only service can privately import a permitted Marble world, but a pasted link alone does not create a shared published lesson.</w:t>
      </w:r>
    </w:p>
    <w:p>
      <w:pPr>
        <w:pStyle w:val="Heading2"/>
      </w:pPr>
      <w:r>
        <w:t>6 The plan</w:t>
      </w:r>
    </w:p>
    <w:p>
      <w:r>
        <w:t>Read the summary. Download the JSON file. Browser saving stays on this device; Import reopens a downloaded copy.</w:t>
      </w:r>
    </w:p>
    <w:p>
      <w:pPr>
        <w:pStyle w:val="Heading1"/>
      </w:pPr>
      <w:r>
        <w:t>Part 3 Finish the lesson</w:t>
      </w:r>
    </w:p>
    <w:p>
      <w:r>
        <w:t>The complete creator should guide the author through the following gates. Today, placement can be demonstrated on included worlds; an owner-only local Marble import and route rehearsal now exist. Public generated-world creation, expert review, shared storage, and publishing remain planned.</w:t>
      </w:r>
    </w:p>
    <w:p>
      <w:pPr>
        <w:pStyle w:val="ListNumber"/>
      </w:pPr>
      <w:r>
        <w:t>Check that the selected world is a navigable source with valid rights and enough visual detail.</w:t>
      </w:r>
    </w:p>
    <w:p>
      <w:pPr>
        <w:pStyle w:val="ListNumber"/>
      </w:pPr>
      <w:r>
        <w:t>Walk the world and choose comfortable viewpoints. Use original-world features first; add precise objects only when necessary and physically plausible.</w:t>
      </w:r>
    </w:p>
    <w:p>
      <w:pPr>
        <w:pStyle w:val="ListNumber"/>
      </w:pPr>
      <w:r>
        <w:t>Attach each clue to visible evidence. Set its selection area, label, focus camera, wrong-answer feedback, and safe-action explanation.</w:t>
      </w:r>
    </w:p>
    <w:p>
      <w:pPr>
        <w:pStyle w:val="ListNumber"/>
      </w:pPr>
      <w:r>
        <w:t>Make a route that gives an overall sense of place before any close-up; avoid fuzzy splat boundaries and scale errors.</w:t>
      </w:r>
    </w:p>
    <w:p>
      <w:pPr>
        <w:pStyle w:val="ListNumber"/>
      </w:pPr>
      <w:r>
        <w:t>Run Show me, Find me, and Challenge me; verify answer consistency, controls, sound, captions, phone layout, and performance.</w:t>
      </w:r>
    </w:p>
    <w:p>
      <w:pPr>
        <w:pStyle w:val="ListNumber"/>
      </w:pPr>
      <w:r>
        <w:t>Ask a responsible expert to approve every safety claim, source, and scoring rule.</w:t>
      </w:r>
    </w:p>
    <w:p>
      <w:pPr>
        <w:pStyle w:val="ListNumber"/>
      </w:pPr>
      <w:r>
        <w:t>Publish a versioned release, then monitor errors and collect learning data only under the organization’s rules.</w:t>
      </w:r>
    </w:p>
    <w:p>
      <w:pPr>
        <w:pStyle w:val="Heading1"/>
      </w:pPr>
      <w:r>
        <w:t>A simple example</w:t>
      </w:r>
    </w:p>
    <w:p>
      <w:r>
        <w:t>For a refinery pump alley, the learner first sees the process yard. Then they notice a small damp trace near a flange, compare it with a dry joint, and choose to stay clear and report it. The world remains the main experience; a staged prop is only a teaching aid.</w:t>
      </w:r>
    </w:p>
    <w:p>
      <w:pPr>
        <w:pStyle w:val="Heading1"/>
      </w:pPr>
      <w:r>
        <w:t>Safety and quality checklist</w:t>
      </w:r>
    </w:p>
    <w:p>
      <w:pPr>
        <w:pStyle w:val="ListBullet"/>
      </w:pPr>
      <w:r>
        <w:t>The clue is truly visible, and its label sits on the correct place.</w:t>
      </w:r>
    </w:p>
    <w:p>
      <w:pPr>
        <w:pStyle w:val="ListBullet"/>
      </w:pPr>
      <w:r>
        <w:t>The learner does not need to approach blurry edges of a captured scene.</w:t>
      </w:r>
    </w:p>
    <w:p>
      <w:pPr>
        <w:pStyle w:val="ListBullet"/>
      </w:pPr>
      <w:r>
        <w:t>The correct and incorrect responses make sense in all three modes.</w:t>
      </w:r>
    </w:p>
    <w:p>
      <w:pPr>
        <w:pStyle w:val="ListBullet"/>
      </w:pPr>
      <w:r>
        <w:t>The scene does not pretend a generated hazard is a real site condition.</w:t>
      </w:r>
    </w:p>
    <w:p>
      <w:pPr>
        <w:pStyle w:val="ListBullet"/>
      </w:pPr>
      <w:r>
        <w:t>A trained reviewer has checked the procedure against local rules.</w:t>
      </w:r>
    </w:p>
    <w:p>
      <w:pPr>
        <w:pStyle w:val="ListBullet"/>
      </w:pPr>
      <w:r>
        <w:t>Sources, permissions, and approved version are recorded.</w:t>
      </w:r>
    </w:p>
    <w:p>
      <w:pPr>
        <w:pStyle w:val="Heading1"/>
      </w:pPr>
      <w:r>
        <w:t>How EON Worlds fits the wider EON platform</w:t>
      </w:r>
    </w:p>
    <w:p>
      <w:r>
        <w:t>The supplied EON One Platform slide shows a digital twin side and a work loop. EON Worlds can become the spatial learning layer: Universal supplies captured places; Genesis or XR Infinite can hold scored simulation; expert knowledge can inform the explanation. In a future integration, Permit IQ and Field IQ could bring approved controls and field observations; Assess IQ and Compound IQ could help improve the next lesson. These are proposed connections, not current product integrations.</w:t>
      </w:r>
    </w:p>
    <w:p>
      <w:pPr>
        <w:pStyle w:val="Heading1"/>
      </w:pPr>
      <w:r>
        <w:t>Ten possible next features</w:t>
      </w:r>
    </w:p>
    <w:p>
      <w:pPr>
        <w:pStyle w:val="ListBullet"/>
      </w:pPr>
      <w:r>
        <w:t>AI scene scout: Suggests visible learning points from an imported world; never auto approves them.</w:t>
      </w:r>
    </w:p>
    <w:p>
      <w:pPr>
        <w:pStyle w:val="ListBullet"/>
      </w:pPr>
      <w:r>
        <w:t>Before and after: Compare the same place before and after a corrected condition.</w:t>
      </w:r>
    </w:p>
    <w:p>
      <w:pPr>
        <w:pStyle w:val="ListBullet"/>
      </w:pPr>
      <w:r>
        <w:t>Practice a repair: Attach a precise interactive 3D object when physical steps matter.</w:t>
      </w:r>
    </w:p>
    <w:p>
      <w:pPr>
        <w:pStyle w:val="ListBullet"/>
      </w:pPr>
      <w:r>
        <w:t>Team missions: Let teams coordinate observations and compare decisions.</w:t>
      </w:r>
    </w:p>
    <w:p>
      <w:pPr>
        <w:pStyle w:val="ListBullet"/>
      </w:pPr>
      <w:r>
        <w:t>Expert voice: A named reviewer explains why an answer is right.</w:t>
      </w:r>
    </w:p>
    <w:p>
      <w:pPr>
        <w:pStyle w:val="ListBullet"/>
      </w:pPr>
      <w:r>
        <w:t>Adaptive difficulty: Change hints and distractors based on mistakes.</w:t>
      </w:r>
    </w:p>
    <w:p>
      <w:pPr>
        <w:pStyle w:val="ListBullet"/>
      </w:pPr>
      <w:r>
        <w:t>Replay my route: Show where a learner looked, paused, and missed a clue.</w:t>
      </w:r>
    </w:p>
    <w:p>
      <w:pPr>
        <w:pStyle w:val="ListBullet"/>
      </w:pPr>
      <w:r>
        <w:t>Multi language narration: Localize reviewed content and captions.</w:t>
      </w:r>
    </w:p>
    <w:p>
      <w:pPr>
        <w:pStyle w:val="ListBullet"/>
      </w:pPr>
      <w:r>
        <w:t>Mobile and headset handoff: Resume one approved mission across browser, phone, and XR.</w:t>
      </w:r>
    </w:p>
    <w:p>
      <w:pPr>
        <w:pStyle w:val="ListBullet"/>
      </w:pPr>
      <w:r>
        <w:t>Measured transfer: Compare pretest, posttest, and later real-world observation.</w:t>
      </w:r>
    </w:p>
    <w:p>
      <w:pPr>
        <w:pStyle w:val="Heading1"/>
      </w:pPr>
      <w:r>
        <w:t>Troubleshooting</w:t>
      </w:r>
    </w:p>
    <w:tbl>
      <w:tblPr>
        <w:tblW w:type="auto" w:w="0"/>
        <w:jc w:val="center"/>
        <w:tblLayout w:type="fixed"/>
        <w:tblLook w:firstColumn="1" w:firstRow="1" w:lastColumn="0" w:lastRow="0" w:noHBand="0" w:noVBand="1" w:val="04A0"/>
      </w:tblPr>
      <w:tblGrid>
        <w:gridCol w:w="4925"/>
        <w:gridCol w:w="4925"/>
      </w:tblGrid>
      <w:tr>
        <w:tc>
          <w:tcPr>
            <w:tcW w:type="dxa" w:w="2880"/>
            <w:shd w:fill="173047"/>
            <w:tcBorders>
              <w:top w:val="single" w:sz="4" w:color="D9D9D9"/>
              <w:left w:val="single" w:sz="4" w:color="D9D9D9"/>
              <w:bottom w:val="single" w:sz="4" w:color="D9D9D9"/>
              <w:right w:val="single" w:sz="4" w:color="D9D9D9"/>
            </w:tcBorders>
          </w:tcPr>
          <w:p>
            <w:r>
              <w:rPr>
                <w:b/>
                <w:color w:val="FFFFFF"/>
                <w:sz w:val="18"/>
              </w:rPr>
              <w:t>Problem</w:t>
            </w:r>
          </w:p>
        </w:tc>
        <w:tc>
          <w:tcPr>
            <w:tcW w:type="dxa" w:w="6192"/>
            <w:shd w:fill="173047"/>
            <w:tcBorders>
              <w:top w:val="single" w:sz="4" w:color="D9D9D9"/>
              <w:left w:val="single" w:sz="4" w:color="D9D9D9"/>
              <w:bottom w:val="single" w:sz="4" w:color="D9D9D9"/>
              <w:right w:val="single" w:sz="4" w:color="D9D9D9"/>
            </w:tcBorders>
          </w:tcPr>
          <w:p>
            <w:r>
              <w:rPr>
                <w:b/>
                <w:color w:val="FFFFFF"/>
                <w:sz w:val="18"/>
              </w:rPr>
              <w:t>What to try</w:t>
            </w:r>
          </w:p>
        </w:tc>
      </w:tr>
      <w:tr>
        <w:tc>
          <w:tcPr>
            <w:tcW w:type="dxa" w:w="2880"/>
            <w:tcBorders>
              <w:top w:val="single" w:sz="4" w:color="D9D9D9"/>
              <w:left w:val="single" w:sz="4" w:color="D9D9D9"/>
              <w:bottom w:val="single" w:sz="4" w:color="D9D9D9"/>
              <w:right w:val="single" w:sz="4" w:color="D9D9D9"/>
            </w:tcBorders>
            <w:vAlign w:val="center"/>
          </w:tcPr>
          <w:p>
            <w:r>
              <w:rPr>
                <w:sz w:val="17"/>
              </w:rPr>
              <w:t>Sound is missing</w:t>
            </w:r>
          </w:p>
        </w:tc>
        <w:tc>
          <w:tcPr>
            <w:tcW w:type="dxa" w:w="6192"/>
            <w:tcBorders>
              <w:top w:val="single" w:sz="4" w:color="D9D9D9"/>
              <w:left w:val="single" w:sz="4" w:color="D9D9D9"/>
              <w:bottom w:val="single" w:sz="4" w:color="D9D9D9"/>
              <w:right w:val="single" w:sz="4" w:color="D9D9D9"/>
            </w:tcBorders>
            <w:vAlign w:val="center"/>
          </w:tcPr>
          <w:p>
            <w:r>
              <w:rPr>
                <w:sz w:val="17"/>
              </w:rPr>
              <w:t>Use the Sound control; check browser autoplay permission and device volume. Captions remain available.</w:t>
            </w:r>
          </w:p>
        </w:tc>
      </w:tr>
      <w:tr>
        <w:tc>
          <w:tcPr>
            <w:tcW w:type="dxa" w:w="2880"/>
            <w:tcBorders>
              <w:top w:val="single" w:sz="4" w:color="D9D9D9"/>
              <w:left w:val="single" w:sz="4" w:color="D9D9D9"/>
              <w:bottom w:val="single" w:sz="4" w:color="D9D9D9"/>
              <w:right w:val="single" w:sz="4" w:color="D9D9D9"/>
            </w:tcBorders>
            <w:vAlign w:val="center"/>
            <w:shd w:fill="F3F7FA"/>
          </w:tcPr>
          <w:p>
            <w:r>
              <w:rPr>
                <w:sz w:val="17"/>
              </w:rPr>
              <w:t>World feels slow</w:t>
            </w:r>
          </w:p>
        </w:tc>
        <w:tc>
          <w:tcPr>
            <w:tcW w:type="dxa" w:w="6192"/>
            <w:tcBorders>
              <w:top w:val="single" w:sz="4" w:color="D9D9D9"/>
              <w:left w:val="single" w:sz="4" w:color="D9D9D9"/>
              <w:bottom w:val="single" w:sz="4" w:color="D9D9D9"/>
              <w:right w:val="single" w:sz="4" w:color="D9D9D9"/>
            </w:tcBorders>
            <w:vAlign w:val="center"/>
            <w:shd w:fill="F3F7FA"/>
          </w:tcPr>
          <w:p>
            <w:r>
              <w:rPr>
                <w:sz w:val="17"/>
              </w:rPr>
              <w:t>Switch to a lighter view if offered; close other heavy browser tabs and try a supported desktop browser.</w:t>
            </w:r>
          </w:p>
        </w:tc>
      </w:tr>
      <w:tr>
        <w:tc>
          <w:tcPr>
            <w:tcW w:type="dxa" w:w="2880"/>
            <w:tcBorders>
              <w:top w:val="single" w:sz="4" w:color="D9D9D9"/>
              <w:left w:val="single" w:sz="4" w:color="D9D9D9"/>
              <w:bottom w:val="single" w:sz="4" w:color="D9D9D9"/>
              <w:right w:val="single" w:sz="4" w:color="D9D9D9"/>
            </w:tcBorders>
            <w:vAlign w:val="center"/>
          </w:tcPr>
          <w:p>
            <w:r>
              <w:rPr>
                <w:sz w:val="17"/>
              </w:rPr>
              <w:t>I cannot see my draft elsewhere</w:t>
            </w:r>
          </w:p>
        </w:tc>
        <w:tc>
          <w:tcPr>
            <w:tcW w:type="dxa" w:w="6192"/>
            <w:tcBorders>
              <w:top w:val="single" w:sz="4" w:color="D9D9D9"/>
              <w:left w:val="single" w:sz="4" w:color="D9D9D9"/>
              <w:bottom w:val="single" w:sz="4" w:color="D9D9D9"/>
              <w:right w:val="single" w:sz="4" w:color="D9D9D9"/>
            </w:tcBorders>
            <w:vAlign w:val="center"/>
          </w:tcPr>
          <w:p>
            <w:r>
              <w:rPr>
                <w:sz w:val="17"/>
              </w:rPr>
              <w:t>Download the JSON plan and Import it on the other device. Browser storage is local.</w:t>
            </w:r>
          </w:p>
        </w:tc>
      </w:tr>
      <w:tr>
        <w:tc>
          <w:tcPr>
            <w:tcW w:type="dxa" w:w="2880"/>
            <w:tcBorders>
              <w:top w:val="single" w:sz="4" w:color="D9D9D9"/>
              <w:left w:val="single" w:sz="4" w:color="D9D9D9"/>
              <w:bottom w:val="single" w:sz="4" w:color="D9D9D9"/>
              <w:right w:val="single" w:sz="4" w:color="D9D9D9"/>
            </w:tcBorders>
            <w:vAlign w:val="center"/>
            <w:shd w:fill="F3F7FA"/>
          </w:tcPr>
          <w:p>
            <w:r>
              <w:rPr>
                <w:sz w:val="17"/>
              </w:rPr>
              <w:t>A generated clue is wrong</w:t>
            </w:r>
          </w:p>
        </w:tc>
        <w:tc>
          <w:tcPr>
            <w:tcW w:type="dxa" w:w="6192"/>
            <w:tcBorders>
              <w:top w:val="single" w:sz="4" w:color="D9D9D9"/>
              <w:left w:val="single" w:sz="4" w:color="D9D9D9"/>
              <w:bottom w:val="single" w:sz="4" w:color="D9D9D9"/>
              <w:right w:val="single" w:sz="4" w:color="D9D9D9"/>
            </w:tcBorders>
            <w:vAlign w:val="center"/>
            <w:shd w:fill="F3F7FA"/>
          </w:tcPr>
          <w:p>
            <w:r>
              <w:rPr>
                <w:sz w:val="17"/>
              </w:rPr>
              <w:t>Edit or delete the card. Do not publish until the expert approves the corrected wording.</w:t>
            </w:r>
          </w:p>
        </w:tc>
      </w:tr>
      <w:tr>
        <w:tc>
          <w:tcPr>
            <w:tcW w:type="dxa" w:w="2880"/>
            <w:tcBorders>
              <w:top w:val="single" w:sz="4" w:color="D9D9D9"/>
              <w:left w:val="single" w:sz="4" w:color="D9D9D9"/>
              <w:bottom w:val="single" w:sz="4" w:color="D9D9D9"/>
              <w:right w:val="single" w:sz="4" w:color="D9D9D9"/>
            </w:tcBorders>
            <w:vAlign w:val="center"/>
          </w:tcPr>
          <w:p>
            <w:r>
              <w:rPr>
                <w:sz w:val="17"/>
              </w:rPr>
              <w:t>A pasted Marble link does not open in EON</w:t>
            </w:r>
          </w:p>
        </w:tc>
        <w:tc>
          <w:tcPr>
            <w:tcW w:type="dxa" w:w="6192"/>
            <w:tcBorders>
              <w:top w:val="single" w:sz="4" w:color="D9D9D9"/>
              <w:left w:val="single" w:sz="4" w:color="D9D9D9"/>
              <w:bottom w:val="single" w:sz="4" w:color="D9D9D9"/>
              <w:right w:val="single" w:sz="4" w:color="D9D9D9"/>
            </w:tcBorders>
            <w:vAlign w:val="center"/>
          </w:tcPr>
          <w:p>
            <w:r>
              <w:rPr>
                <w:sz w:val="17"/>
              </w:rPr>
              <w:t>The preview records the link; arbitrary-world import remains a planned feature.</w:t>
            </w:r>
          </w:p>
        </w:tc>
      </w:tr>
    </w:tbl>
    <w:p/>
    <w:p>
      <w:pPr>
        <w:pStyle w:val="Heading1"/>
      </w:pPr>
      <w:r>
        <w:t>Links</w:t>
      </w:r>
    </w:p>
    <w:p>
      <w:r>
        <w:t>Demo: https://eon-worlds-demo.vercel.app/demo?world=refinery&amp;mission=hazards&amp;mode=showMe</w:t>
      </w:r>
    </w:p>
    <w:p>
      <w:r>
        <w:t>Creator: https://eon-worlds-public-demo.danlejerskar.chatgpt.site/</w:t>
      </w:r>
    </w:p>
    <w:p>
      <w:r>
        <w:t xml:space="preserve">Full HTML guide: </w:t>
      </w:r>
      <w:hyperlink r:id="rId10">
        <w:r>
          <w:rPr>
            <w:color w:val="0563C1"/>
            <w:u w:val="single"/>
          </w:rPr>
          <w:t>Read the online guide</w:t>
        </w:r>
      </w:hyperlink>
    </w:p>
    <w:p>
      <w:pPr>
        <w:pStyle w:val="Heading1"/>
      </w:pPr>
      <w:r>
        <w:t>Part 4 Situation Room library plan</w:t>
      </w:r>
    </w:p>
    <w:p>
      <w:r>
        <w:t>The 211 unique Situation Room cards have been mapped to 16 proposed libraries. This is an ideas inventory, not 211 published 3D worlds. The first ten worlds are proposed settings that can produce multiple reviewed missions.</w:t>
      </w:r>
    </w:p>
    <w:p>
      <w:pPr>
        <w:pStyle w:val="Heading2"/>
      </w:pPr>
      <w:r>
        <w:t>First three pilots</w:t>
      </w:r>
    </w:p>
    <w:p>
      <w:pPr>
        <w:pStyle w:val="ListBullet"/>
      </w:pPr>
      <w:r>
        <w:t>Refinery leak walk: traverse a process yard, notice subtle visible evidence, and report it without touching the equipment.</w:t>
      </w:r>
    </w:p>
    <w:p>
      <w:pPr>
        <w:pStyle w:val="ListBullet"/>
      </w:pPr>
      <w:r>
        <w:t>Pump maintenance handback: compare a pump-area concern with normal equipment and choose the safe handback response.</w:t>
      </w:r>
    </w:p>
    <w:p>
      <w:pPr>
        <w:pStyle w:val="ListBullet"/>
      </w:pPr>
      <w:r>
        <w:t>Mine haul road: see a vehicle and pedestrian route in context and identify a safe decision at a blind area.</w:t>
      </w:r>
    </w:p>
    <w:p>
      <w:pPr>
        <w:pStyle w:val="Heading2"/>
      </w:pPr>
      <w:r>
        <w:t>How to turn a card into a lesson</w:t>
      </w:r>
    </w:p>
    <w:p>
      <w:pPr>
        <w:pStyle w:val="ListBullet"/>
      </w:pPr>
      <w:r>
        <w:t>Choose a card whose evidence can be seen in a world; reserve hidden process behavior for a linked simulation.</w:t>
      </w:r>
    </w:p>
    <w:p>
      <w:pPr>
        <w:pStyle w:val="ListBullet"/>
      </w:pPr>
      <w:r>
        <w:t>Check source rights and site rules. Draft a short story with a visible clue, the learner decision, and feedback.</w:t>
      </w:r>
    </w:p>
    <w:p>
      <w:pPr>
        <w:pStyle w:val="ListBullet"/>
      </w:pPr>
      <w:r>
        <w:t>Place the clue in the real 3D scene at a comfortable viewing distance and rehearse the route.</w:t>
      </w:r>
    </w:p>
    <w:p>
      <w:pPr>
        <w:pStyle w:val="ListBullet"/>
      </w:pPr>
      <w:r>
        <w:t>Ask an expert to approve the answer and safe action. Record the version and test all three modes before release.</w:t>
      </w:r>
    </w:p>
    <w:p>
      <w:pPr>
        <w:pStyle w:val="Heading2"/>
      </w:pPr>
      <w:r>
        <w:t>Availability labels</w:t>
      </w:r>
    </w:p>
    <w:p>
      <w:r>
        <w:t>Public preview: sample worlds, guided mission, assisted search, challenge, and six-question plan. Owner-only local tools: private Marble import, marker drafting, and route rehearsal. Planned for customer release: shared identity and storage, governed expert sign-off, approved publishing, and full automated world generation.</w:t>
      </w:r>
    </w:p>
    <w:sectPr w:rsidR="00FC693F" w:rsidRPr="0006063C" w:rsidSect="00034616">
      <w:footerReference w:type="default" r:id="rId9"/>
      <w:pgSz w:w="12240" w:h="15840"/>
      <w:pgMar w:top="1094" w:right="1195" w:bottom="1008"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737D"/>
        <w:sz w:val="16"/>
      </w:rPr>
      <w:t>EON Worlds  •  27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color w:val="1C25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on-worlds-public-demo.danlejerskar.chatgpt.site/guide.html" TargetMode="External"/><Relationship Id="rId11" Type="http://schemas.openxmlformats.org/officeDocument/2006/relationships/hyperlink" Target="https://eon-worlds-public-demo.danlejerskar.chatgpt.site/demo.html?world=refinery&amp;mission=hazards&amp;mode=showMe&amp;guid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